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Wraparound Services Information Sheet</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are Wraparound services? </w:t>
      </w:r>
    </w:p>
    <w:p w:rsidR="00000000" w:rsidDel="00000000" w:rsidP="00000000" w:rsidRDefault="00000000" w:rsidRPr="00000000" w14:paraId="00000005">
      <w:pPr>
        <w:rPr/>
      </w:pPr>
      <w:r w:rsidDel="00000000" w:rsidR="00000000" w:rsidRPr="00000000">
        <w:rPr>
          <w:rtl w:val="0"/>
        </w:rPr>
        <w:tab/>
        <w:t xml:space="preserve">Wraparound services, </w:t>
      </w:r>
      <w:r w:rsidDel="00000000" w:rsidR="00000000" w:rsidRPr="00000000">
        <w:rPr>
          <w:i w:val="1"/>
          <w:rtl w:val="0"/>
        </w:rPr>
        <w:t xml:space="preserve">Wrap</w:t>
      </w:r>
      <w:r w:rsidDel="00000000" w:rsidR="00000000" w:rsidRPr="00000000">
        <w:rPr>
          <w:rtl w:val="0"/>
        </w:rPr>
        <w:t xml:space="preserve">, or </w:t>
      </w:r>
      <w:r w:rsidDel="00000000" w:rsidR="00000000" w:rsidRPr="00000000">
        <w:rPr>
          <w:i w:val="1"/>
          <w:rtl w:val="0"/>
        </w:rPr>
        <w:t xml:space="preserve">High Fidelity Wraparound</w:t>
      </w:r>
      <w:r w:rsidDel="00000000" w:rsidR="00000000" w:rsidRPr="00000000">
        <w:rPr>
          <w:rtl w:val="0"/>
        </w:rPr>
        <w:t xml:space="preserve">, is an individualized, team-based approach that includes children, the family, professionals, and other supports for the purpose of helping families and children learn new tools to thrive at home and in their community.  Wraparound is a strength-based service, developed with the intention of supporting families and children by supporting children with emotional and behavioral issues to remain in the home, and reuniting children with families that have been placed outside of the home (coc.sc.gov). Wraparound is a culturally-responsive process that seeks to coordinate care among a child’s providers and services by listening to and prioritizing individual and family needs and goals and strengthening family self-efficacy.  Family voice and choice are essential to wraparound services and promote organization among multiple providers through a primary care coordinator, the wraparound facilitator, bringing them together to work cohesively to support the individual family.  The four principles of wraparound are: being grounded in a strengths perspective, being directed by underlying needs, providing support using a team approach, and being decided by families (coc.sc.gov).</w:t>
      </w:r>
    </w:p>
    <w:p w:rsidR="00000000" w:rsidDel="00000000" w:rsidP="00000000" w:rsidRDefault="00000000" w:rsidRPr="00000000" w14:paraId="00000006">
      <w:pPr>
        <w:rPr/>
      </w:pPr>
      <w:r w:rsidDel="00000000" w:rsidR="00000000" w:rsidRPr="00000000">
        <w:rPr>
          <w:rtl w:val="0"/>
        </w:rPr>
        <w:tab/>
        <w:t xml:space="preserve">Wraparound services typically last between 12-18 months.  During the time services are provided, monthly meetings will be conducted by the wraparound facilitator, and the expectation is that families will attend monthly meetings and other outlined expectations (coc.sc.gov).  </w:t>
      </w:r>
    </w:p>
    <w:p w:rsidR="00000000" w:rsidDel="00000000" w:rsidP="00000000" w:rsidRDefault="00000000" w:rsidRPr="00000000" w14:paraId="00000007">
      <w:pPr>
        <w:rPr/>
      </w:pPr>
      <w:r w:rsidDel="00000000" w:rsidR="00000000" w:rsidRPr="00000000">
        <w:rPr>
          <w:rtl w:val="0"/>
        </w:rPr>
        <w:t xml:space="preserve">Wraparound services may also include, Behavior modification services (BMOD), Psychosocial Rehabilitation Services (PRS), and Family Support Services (FS) (https://scyap.com/wraparound-services/).</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b w:val="1"/>
        </w:rPr>
      </w:pPr>
      <w:r w:rsidDel="00000000" w:rsidR="00000000" w:rsidRPr="00000000">
        <w:rPr>
          <w:b w:val="1"/>
          <w:rtl w:val="0"/>
        </w:rPr>
        <w:t xml:space="preserve">How do I know if my child qualifies for Wraparound services? (https://coc.sc.gov/eligibility.html)</w:t>
      </w:r>
    </w:p>
    <w:p w:rsidR="00000000" w:rsidDel="00000000" w:rsidP="00000000" w:rsidRDefault="00000000" w:rsidRPr="00000000" w14:paraId="0000000A">
      <w:pPr>
        <w:rPr/>
      </w:pPr>
      <w:r w:rsidDel="00000000" w:rsidR="00000000" w:rsidRPr="00000000">
        <w:rPr>
          <w:rtl w:val="0"/>
        </w:rPr>
        <w:tab/>
        <w:t xml:space="preserve">To find out if your child qualifies for Wraparound services, visit the website below.  An initial application and screening will be conducted, followed by further assessment to determine program eligibility. A brief summary of qualifications is listed below.  Please visit the website for the full list of criteria and processes for applying.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ab/>
      </w:r>
      <w:r w:rsidDel="00000000" w:rsidR="00000000" w:rsidRPr="00000000">
        <w:rPr>
          <w:b w:val="1"/>
          <w:rtl w:val="0"/>
        </w:rPr>
        <w:t xml:space="preserve">Summary of qualifications (for a full list of eligibility requirements, visit            </w:t>
      </w:r>
      <w:r w:rsidDel="00000000" w:rsidR="00000000" w:rsidRPr="00000000">
        <w:rPr>
          <w:b w:val="1"/>
          <w:rtl w:val="0"/>
        </w:rPr>
        <w:t xml:space="preserve">https://coc.sc.gov/eligibility.html</w:t>
      </w:r>
      <w:r w:rsidDel="00000000" w:rsidR="00000000" w:rsidRPr="00000000">
        <w:rPr>
          <w:b w:val="1"/>
          <w:rtl w:val="0"/>
        </w:rPr>
        <w:t xml:space="preserv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2160" w:hanging="360"/>
      </w:pPr>
      <w:r w:rsidDel="00000000" w:rsidR="00000000" w:rsidRPr="00000000">
        <w:rPr>
          <w:rtl w:val="0"/>
        </w:rPr>
        <w:t xml:space="preserve">Legal resident of South Carolina</w:t>
      </w:r>
    </w:p>
    <w:p w:rsidR="00000000" w:rsidDel="00000000" w:rsidP="00000000" w:rsidRDefault="00000000" w:rsidRPr="00000000" w14:paraId="0000000F">
      <w:pPr>
        <w:numPr>
          <w:ilvl w:val="0"/>
          <w:numId w:val="1"/>
        </w:numPr>
        <w:ind w:left="2160" w:hanging="360"/>
      </w:pPr>
      <w:r w:rsidDel="00000000" w:rsidR="00000000" w:rsidRPr="00000000">
        <w:rPr>
          <w:rtl w:val="0"/>
        </w:rPr>
        <w:t xml:space="preserve">Must be younger than 18 years of age or enrolled in a special education program (if over the age of 18 years)</w:t>
      </w:r>
    </w:p>
    <w:p w:rsidR="00000000" w:rsidDel="00000000" w:rsidP="00000000" w:rsidRDefault="00000000" w:rsidRPr="00000000" w14:paraId="00000010">
      <w:pPr>
        <w:numPr>
          <w:ilvl w:val="0"/>
          <w:numId w:val="1"/>
        </w:numPr>
        <w:ind w:left="2160" w:hanging="360"/>
      </w:pPr>
      <w:r w:rsidDel="00000000" w:rsidR="00000000" w:rsidRPr="00000000">
        <w:rPr>
          <w:rtl w:val="0"/>
        </w:rPr>
        <w:t xml:space="preserve">An application must include signed consent from the parent/guardian if under 18 years of age.  If over the age of 18 and competent to do so, the application must be signed by the individual.</w:t>
      </w:r>
    </w:p>
    <w:p w:rsidR="00000000" w:rsidDel="00000000" w:rsidP="00000000" w:rsidRDefault="00000000" w:rsidRPr="00000000" w14:paraId="00000011">
      <w:pPr>
        <w:numPr>
          <w:ilvl w:val="0"/>
          <w:numId w:val="1"/>
        </w:numPr>
        <w:ind w:left="2160" w:hanging="360"/>
      </w:pPr>
      <w:r w:rsidDel="00000000" w:rsidR="00000000" w:rsidRPr="00000000">
        <w:rPr>
          <w:rtl w:val="0"/>
        </w:rPr>
        <w:t xml:space="preserve">Documentation of a severe behavioral or emotional diagnosis</w:t>
      </w:r>
    </w:p>
    <w:p w:rsidR="00000000" w:rsidDel="00000000" w:rsidP="00000000" w:rsidRDefault="00000000" w:rsidRPr="00000000" w14:paraId="00000012">
      <w:pPr>
        <w:numPr>
          <w:ilvl w:val="0"/>
          <w:numId w:val="1"/>
        </w:numPr>
        <w:ind w:left="2160" w:hanging="360"/>
      </w:pPr>
      <w:r w:rsidDel="00000000" w:rsidR="00000000" w:rsidRPr="00000000">
        <w:rPr>
          <w:rtl w:val="0"/>
        </w:rPr>
        <w:t xml:space="preserve">Require an organized system to meet treatment needs that are not currently being met by existing systems</w:t>
      </w:r>
    </w:p>
    <w:p w:rsidR="00000000" w:rsidDel="00000000" w:rsidP="00000000" w:rsidRDefault="00000000" w:rsidRPr="00000000" w14:paraId="00000013">
      <w:pPr>
        <w:numPr>
          <w:ilvl w:val="0"/>
          <w:numId w:val="1"/>
        </w:numPr>
        <w:ind w:left="2160" w:hanging="360"/>
      </w:pPr>
      <w:r w:rsidDel="00000000" w:rsidR="00000000" w:rsidRPr="00000000">
        <w:rPr>
          <w:rtl w:val="0"/>
        </w:rPr>
        <w:t xml:space="preserve">Youth must be in the custody of a parent/guardian and reside in the community, foster home, group home, or relative placement</w:t>
      </w:r>
    </w:p>
    <w:p w:rsidR="00000000" w:rsidDel="00000000" w:rsidP="00000000" w:rsidRDefault="00000000" w:rsidRPr="00000000" w14:paraId="00000014">
      <w:pPr>
        <w:ind w:left="2160" w:firstLine="0"/>
        <w:rPr/>
      </w:pPr>
      <w:r w:rsidDel="00000000" w:rsidR="00000000" w:rsidRPr="00000000">
        <w:rPr>
          <w:rtl w:val="0"/>
        </w:rPr>
      </w:r>
    </w:p>
    <w:p w:rsidR="00000000" w:rsidDel="00000000" w:rsidP="00000000" w:rsidRDefault="00000000" w:rsidRPr="00000000" w14:paraId="00000015">
      <w:pPr>
        <w:ind w:left="2160" w:firstLine="0"/>
        <w:rPr>
          <w:b w:val="1"/>
        </w:rPr>
      </w:pPr>
      <w:r w:rsidDel="00000000" w:rsidR="00000000" w:rsidRPr="00000000">
        <w:rPr>
          <w:b w:val="1"/>
          <w:rtl w:val="0"/>
        </w:rPr>
        <w:t xml:space="preserve">Additional Requirements for Eligibility Following Application</w:t>
      </w:r>
    </w:p>
    <w:p w:rsidR="00000000" w:rsidDel="00000000" w:rsidP="00000000" w:rsidRDefault="00000000" w:rsidRPr="00000000" w14:paraId="00000016">
      <w:pPr>
        <w:ind w:left="2160" w:firstLine="0"/>
        <w:rPr>
          <w:b w:val="1"/>
        </w:rPr>
      </w:pPr>
      <w:r w:rsidDel="00000000" w:rsidR="00000000" w:rsidRPr="00000000">
        <w:rPr>
          <w:rtl w:val="0"/>
        </w:rPr>
      </w:r>
    </w:p>
    <w:p w:rsidR="00000000" w:rsidDel="00000000" w:rsidP="00000000" w:rsidRDefault="00000000" w:rsidRPr="00000000" w14:paraId="00000017">
      <w:pPr>
        <w:numPr>
          <w:ilvl w:val="0"/>
          <w:numId w:val="1"/>
        </w:numPr>
        <w:ind w:left="2160" w:hanging="360"/>
      </w:pPr>
      <w:r w:rsidDel="00000000" w:rsidR="00000000" w:rsidRPr="00000000">
        <w:rPr>
          <w:highlight w:val="white"/>
          <w:rtl w:val="0"/>
        </w:rPr>
        <w:t xml:space="preserve">The youth has a score of 23 + for the Child &amp; Adolescent Level of Care Utilizations System (CALOCUS)</w:t>
      </w:r>
    </w:p>
    <w:p w:rsidR="00000000" w:rsidDel="00000000" w:rsidP="00000000" w:rsidRDefault="00000000" w:rsidRPr="00000000" w14:paraId="00000018">
      <w:pPr>
        <w:numPr>
          <w:ilvl w:val="0"/>
          <w:numId w:val="1"/>
        </w:numPr>
        <w:ind w:left="2160" w:hanging="360"/>
        <w:rPr>
          <w:highlight w:val="white"/>
        </w:rPr>
      </w:pPr>
      <w:r w:rsidDel="00000000" w:rsidR="00000000" w:rsidRPr="00000000">
        <w:rPr>
          <w:highlight w:val="white"/>
          <w:rtl w:val="0"/>
        </w:rPr>
        <w:t xml:space="preserve">The youth is in or on a waiting list for a Psychiatric Residential Treatment Facility (PRTF) or a PRTF is court ordered</w:t>
      </w:r>
    </w:p>
    <w:p w:rsidR="00000000" w:rsidDel="00000000" w:rsidP="00000000" w:rsidRDefault="00000000" w:rsidRPr="00000000" w14:paraId="00000019">
      <w:pPr>
        <w:numPr>
          <w:ilvl w:val="0"/>
          <w:numId w:val="1"/>
        </w:numPr>
        <w:ind w:left="2160" w:hanging="360"/>
        <w:rPr>
          <w:highlight w:val="white"/>
        </w:rPr>
      </w:pPr>
      <w:r w:rsidDel="00000000" w:rsidR="00000000" w:rsidRPr="00000000">
        <w:rPr>
          <w:highlight w:val="white"/>
          <w:rtl w:val="0"/>
        </w:rPr>
        <w:t xml:space="preserve">The youth is discharging from an acute hospitalization </w:t>
      </w:r>
    </w:p>
    <w:p w:rsidR="00000000" w:rsidDel="00000000" w:rsidP="00000000" w:rsidRDefault="00000000" w:rsidRPr="00000000" w14:paraId="0000001A">
      <w:pPr>
        <w:ind w:left="3600" w:firstLine="720"/>
        <w:rPr>
          <w:highlight w:val="white"/>
        </w:rPr>
      </w:pPr>
      <w:r w:rsidDel="00000000" w:rsidR="00000000" w:rsidRPr="00000000">
        <w:rPr>
          <w:highlight w:val="white"/>
          <w:rtl w:val="0"/>
        </w:rPr>
        <w:t xml:space="preserve">OR</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160" w:line="330" w:lineRule="auto"/>
        <w:ind w:left="2160" w:hanging="360"/>
      </w:pPr>
      <w:r w:rsidDel="00000000" w:rsidR="00000000" w:rsidRPr="00000000">
        <w:rPr>
          <w:highlight w:val="white"/>
          <w:rtl w:val="0"/>
        </w:rPr>
        <w:t xml:space="preserve">Documentation of a severe emotional or behavioral health diagnoses</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0" w:lineRule="auto"/>
        <w:ind w:left="2160" w:hanging="360"/>
      </w:pPr>
      <w:r w:rsidDel="00000000" w:rsidR="00000000" w:rsidRPr="00000000">
        <w:rPr>
          <w:highlight w:val="white"/>
          <w:rtl w:val="0"/>
        </w:rPr>
        <w:t xml:space="preserve">Involvement with multiple state agencies</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spacing w:after="160" w:before="0" w:beforeAutospacing="0" w:line="330" w:lineRule="auto"/>
        <w:ind w:left="2160" w:hanging="360"/>
      </w:pPr>
      <w:r w:rsidDel="00000000" w:rsidR="00000000" w:rsidRPr="00000000">
        <w:rPr>
          <w:highlight w:val="white"/>
          <w:rtl w:val="0"/>
        </w:rPr>
        <w:t xml:space="preserve">Child and Adolescent Functional Assessment Scale (CAFAS) of 140+</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Providers</w:t>
      </w:r>
    </w:p>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Palmetto Coordinated System of Care (PCSC) Waivers</w:t>
      </w:r>
    </w:p>
    <w:p w:rsidR="00000000" w:rsidDel="00000000" w:rsidP="00000000" w:rsidRDefault="00000000" w:rsidRPr="00000000" w14:paraId="00000022">
      <w:pPr>
        <w:rPr/>
      </w:pPr>
      <w:r w:rsidDel="00000000" w:rsidR="00000000" w:rsidRPr="00000000">
        <w:rPr>
          <w:rtl w:val="0"/>
        </w:rPr>
        <w:t xml:space="preserve">Eligibility for PCSC waivers are determined by South Carolina Continuum of Care.  PCSC waivers include High Fidelity Wraparound care coordination, Individual Directed Goods and Services (IDGS), and respite Services.</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South Carolina Continuum of Care </w:t>
      </w:r>
      <w:r w:rsidDel="00000000" w:rsidR="00000000" w:rsidRPr="00000000">
        <w:rPr>
          <w:b w:val="1"/>
          <w:rtl w:val="0"/>
        </w:rPr>
        <w:t xml:space="preserve">(COC)</w:t>
      </w:r>
      <w:r w:rsidDel="00000000" w:rsidR="00000000" w:rsidRPr="00000000">
        <w:rPr>
          <w:b w:val="1"/>
          <w:rtl w:val="0"/>
        </w:rPr>
        <w:t xml:space="preserve"> </w:t>
      </w:r>
    </w:p>
    <w:p w:rsidR="00000000" w:rsidDel="00000000" w:rsidP="00000000" w:rsidRDefault="00000000" w:rsidRPr="00000000" w14:paraId="00000025">
      <w:pPr>
        <w:rPr/>
      </w:pPr>
      <w:r w:rsidDel="00000000" w:rsidR="00000000" w:rsidRPr="00000000">
        <w:rPr>
          <w:rtl w:val="0"/>
        </w:rPr>
        <w:t xml:space="preserve">COC is a division of the South Carolina Department of Children’s Advocacy.  They perform all assessments and waiver eligibility determinations for Wraparound services and PCSC waiver participants</w:t>
      </w: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High Fidelity Wraparound Care Coordination</w:t>
      </w:r>
    </w:p>
    <w:p w:rsidR="00000000" w:rsidDel="00000000" w:rsidP="00000000" w:rsidRDefault="00000000" w:rsidRPr="00000000" w14:paraId="00000027">
      <w:pPr>
        <w:ind w:firstLine="720"/>
        <w:rPr>
          <w:b w:val="1"/>
        </w:rPr>
      </w:pPr>
      <w:r w:rsidDel="00000000" w:rsidR="00000000" w:rsidRPr="00000000">
        <w:rPr>
          <w:b w:val="1"/>
          <w:rtl w:val="0"/>
        </w:rPr>
        <w:t xml:space="preserve">Address:</w:t>
      </w:r>
    </w:p>
    <w:p w:rsidR="00000000" w:rsidDel="00000000" w:rsidP="00000000" w:rsidRDefault="00000000" w:rsidRPr="00000000" w14:paraId="00000028">
      <w:pPr>
        <w:ind w:left="720" w:firstLine="720"/>
        <w:rPr>
          <w:b w:val="1"/>
        </w:rPr>
      </w:pPr>
      <w:r w:rsidDel="00000000" w:rsidR="00000000" w:rsidRPr="00000000">
        <w:rPr>
          <w:b w:val="1"/>
          <w:rtl w:val="0"/>
        </w:rPr>
        <w:t xml:space="preserve">Midlands: </w:t>
      </w:r>
    </w:p>
    <w:p w:rsidR="00000000" w:rsidDel="00000000" w:rsidP="00000000" w:rsidRDefault="00000000" w:rsidRPr="00000000" w14:paraId="00000029">
      <w:pPr>
        <w:ind w:left="720" w:firstLine="720"/>
        <w:rPr/>
      </w:pPr>
      <w:r w:rsidDel="00000000" w:rsidR="00000000" w:rsidRPr="00000000">
        <w:rPr>
          <w:rtl w:val="0"/>
        </w:rPr>
        <w:t xml:space="preserve">1205 Pendleton Street, Suite 341 C </w:t>
      </w:r>
    </w:p>
    <w:p w:rsidR="00000000" w:rsidDel="00000000" w:rsidP="00000000" w:rsidRDefault="00000000" w:rsidRPr="00000000" w14:paraId="0000002A">
      <w:pPr>
        <w:ind w:left="720" w:firstLine="720"/>
        <w:rPr/>
      </w:pPr>
      <w:r w:rsidDel="00000000" w:rsidR="00000000" w:rsidRPr="00000000">
        <w:rPr>
          <w:rtl w:val="0"/>
        </w:rPr>
        <w:t xml:space="preserve">Columbia, South Carolina 29201 </w:t>
      </w:r>
    </w:p>
    <w:p w:rsidR="00000000" w:rsidDel="00000000" w:rsidP="00000000" w:rsidRDefault="00000000" w:rsidRPr="00000000" w14:paraId="0000002B">
      <w:pPr>
        <w:ind w:left="720" w:firstLine="720"/>
        <w:rPr/>
      </w:pPr>
      <w:r w:rsidDel="00000000" w:rsidR="00000000" w:rsidRPr="00000000">
        <w:rPr>
          <w:b w:val="1"/>
          <w:rtl w:val="0"/>
        </w:rPr>
        <w:t xml:space="preserve">Phone:</w:t>
      </w:r>
      <w:r w:rsidDel="00000000" w:rsidR="00000000" w:rsidRPr="00000000">
        <w:rPr>
          <w:rtl w:val="0"/>
        </w:rPr>
        <w:t xml:space="preserve"> (803) 737-1601; Fax: (803) 737-1610 </w:t>
      </w:r>
    </w:p>
    <w:p w:rsidR="00000000" w:rsidDel="00000000" w:rsidP="00000000" w:rsidRDefault="00000000" w:rsidRPr="00000000" w14:paraId="0000002C">
      <w:pPr>
        <w:ind w:left="720" w:firstLine="720"/>
        <w:rPr/>
      </w:pPr>
      <w:r w:rsidDel="00000000" w:rsidR="00000000" w:rsidRPr="00000000">
        <w:rPr>
          <w:b w:val="1"/>
          <w:rtl w:val="0"/>
        </w:rPr>
        <w:t xml:space="preserve">Outpost Offices:</w:t>
      </w:r>
      <w:r w:rsidDel="00000000" w:rsidR="00000000" w:rsidRPr="00000000">
        <w:rPr>
          <w:rtl w:val="0"/>
        </w:rPr>
        <w:t xml:space="preserve"> Aiken &amp; Rock Hill </w:t>
      </w:r>
    </w:p>
    <w:p w:rsidR="00000000" w:rsidDel="00000000" w:rsidP="00000000" w:rsidRDefault="00000000" w:rsidRPr="00000000" w14:paraId="0000002D">
      <w:pPr>
        <w:ind w:left="1440" w:firstLine="0"/>
        <w:rPr/>
      </w:pPr>
      <w:r w:rsidDel="00000000" w:rsidR="00000000" w:rsidRPr="00000000">
        <w:rPr>
          <w:b w:val="1"/>
          <w:rtl w:val="0"/>
        </w:rPr>
        <w:t xml:space="preserve">Counties:</w:t>
      </w:r>
      <w:r w:rsidDel="00000000" w:rsidR="00000000" w:rsidRPr="00000000">
        <w:rPr>
          <w:rtl w:val="0"/>
        </w:rPr>
        <w:t xml:space="preserve"> Aiken, Barnwell, Chester, Fairfield, Lancaster, Lexington, Richland, York</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ind w:left="1440" w:firstLine="0"/>
        <w:rPr>
          <w:b w:val="1"/>
        </w:rPr>
      </w:pPr>
      <w:r w:rsidDel="00000000" w:rsidR="00000000" w:rsidRPr="00000000">
        <w:rPr>
          <w:b w:val="1"/>
          <w:rtl w:val="0"/>
        </w:rPr>
        <w:t xml:space="preserve">Upstate:</w:t>
      </w:r>
    </w:p>
    <w:p w:rsidR="00000000" w:rsidDel="00000000" w:rsidP="00000000" w:rsidRDefault="00000000" w:rsidRPr="00000000" w14:paraId="00000030">
      <w:pPr>
        <w:ind w:left="1440" w:firstLine="0"/>
        <w:rPr/>
      </w:pPr>
      <w:r w:rsidDel="00000000" w:rsidR="00000000" w:rsidRPr="00000000">
        <w:rPr>
          <w:rtl w:val="0"/>
        </w:rPr>
        <w:t xml:space="preserve">37 Villa Road, Suite 300 </w:t>
      </w:r>
    </w:p>
    <w:p w:rsidR="00000000" w:rsidDel="00000000" w:rsidP="00000000" w:rsidRDefault="00000000" w:rsidRPr="00000000" w14:paraId="00000031">
      <w:pPr>
        <w:ind w:left="1440" w:firstLine="0"/>
        <w:rPr/>
      </w:pPr>
      <w:r w:rsidDel="00000000" w:rsidR="00000000" w:rsidRPr="00000000">
        <w:rPr>
          <w:rtl w:val="0"/>
        </w:rPr>
        <w:t xml:space="preserve">Greenville, South Carolina 29615 </w:t>
      </w:r>
    </w:p>
    <w:p w:rsidR="00000000" w:rsidDel="00000000" w:rsidP="00000000" w:rsidRDefault="00000000" w:rsidRPr="00000000" w14:paraId="00000032">
      <w:pPr>
        <w:ind w:left="1440" w:firstLine="0"/>
        <w:rPr/>
      </w:pPr>
      <w:r w:rsidDel="00000000" w:rsidR="00000000" w:rsidRPr="00000000">
        <w:rPr>
          <w:b w:val="1"/>
          <w:rtl w:val="0"/>
        </w:rPr>
        <w:t xml:space="preserve">Phone:</w:t>
      </w:r>
      <w:r w:rsidDel="00000000" w:rsidR="00000000" w:rsidRPr="00000000">
        <w:rPr>
          <w:rtl w:val="0"/>
        </w:rPr>
        <w:t xml:space="preserve"> (864) 271-4321; Fax: (864) 271-4473 </w:t>
      </w:r>
    </w:p>
    <w:p w:rsidR="00000000" w:rsidDel="00000000" w:rsidP="00000000" w:rsidRDefault="00000000" w:rsidRPr="00000000" w14:paraId="00000033">
      <w:pPr>
        <w:ind w:left="1440" w:firstLine="0"/>
        <w:rPr/>
      </w:pPr>
      <w:r w:rsidDel="00000000" w:rsidR="00000000" w:rsidRPr="00000000">
        <w:rPr>
          <w:b w:val="1"/>
          <w:rtl w:val="0"/>
        </w:rPr>
        <w:t xml:space="preserve">Outpost Offices: </w:t>
      </w:r>
      <w:r w:rsidDel="00000000" w:rsidR="00000000" w:rsidRPr="00000000">
        <w:rPr>
          <w:rtl w:val="0"/>
        </w:rPr>
        <w:t xml:space="preserve">Anderson, Gaffney, Greenwood, Seneca, Spartanburg </w:t>
      </w:r>
    </w:p>
    <w:p w:rsidR="00000000" w:rsidDel="00000000" w:rsidP="00000000" w:rsidRDefault="00000000" w:rsidRPr="00000000" w14:paraId="00000034">
      <w:pPr>
        <w:ind w:left="1440" w:firstLine="0"/>
        <w:rPr/>
      </w:pPr>
      <w:r w:rsidDel="00000000" w:rsidR="00000000" w:rsidRPr="00000000">
        <w:rPr>
          <w:b w:val="1"/>
          <w:rtl w:val="0"/>
        </w:rPr>
        <w:t xml:space="preserve">Counties:</w:t>
      </w:r>
      <w:r w:rsidDel="00000000" w:rsidR="00000000" w:rsidRPr="00000000">
        <w:rPr>
          <w:rtl w:val="0"/>
        </w:rPr>
        <w:t xml:space="preserve"> Abbeville, Anderson, Cherokee, Edgefield, Greenville, Greenwood, Laurens, McCormick, Newberry, Oconee, Pickens, Saluda, Spartanburg, Union</w:t>
      </w:r>
    </w:p>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ind w:left="1440" w:firstLine="0"/>
        <w:rPr/>
      </w:pPr>
      <w:r w:rsidDel="00000000" w:rsidR="00000000" w:rsidRPr="00000000">
        <w:rPr>
          <w:b w:val="1"/>
          <w:rtl w:val="0"/>
        </w:rPr>
        <w:t xml:space="preserve">Pee Dee:</w:t>
      </w:r>
      <w:r w:rsidDel="00000000" w:rsidR="00000000" w:rsidRPr="00000000">
        <w:rPr>
          <w:rtl w:val="0"/>
        </w:rPr>
        <w:t xml:space="preserve"> </w:t>
      </w:r>
    </w:p>
    <w:p w:rsidR="00000000" w:rsidDel="00000000" w:rsidP="00000000" w:rsidRDefault="00000000" w:rsidRPr="00000000" w14:paraId="00000037">
      <w:pPr>
        <w:ind w:left="1440" w:firstLine="0"/>
        <w:rPr/>
      </w:pPr>
      <w:r w:rsidDel="00000000" w:rsidR="00000000" w:rsidRPr="00000000">
        <w:rPr>
          <w:rtl w:val="0"/>
        </w:rPr>
        <w:t xml:space="preserve">2120 Jody Road, Suite E </w:t>
      </w:r>
    </w:p>
    <w:p w:rsidR="00000000" w:rsidDel="00000000" w:rsidP="00000000" w:rsidRDefault="00000000" w:rsidRPr="00000000" w14:paraId="00000038">
      <w:pPr>
        <w:ind w:left="1440" w:firstLine="0"/>
        <w:rPr/>
      </w:pPr>
      <w:r w:rsidDel="00000000" w:rsidR="00000000" w:rsidRPr="00000000">
        <w:rPr>
          <w:rtl w:val="0"/>
        </w:rPr>
        <w:t xml:space="preserve">Florence, South Carolina 29501 </w:t>
      </w:r>
    </w:p>
    <w:p w:rsidR="00000000" w:rsidDel="00000000" w:rsidP="00000000" w:rsidRDefault="00000000" w:rsidRPr="00000000" w14:paraId="00000039">
      <w:pPr>
        <w:ind w:left="1440" w:firstLine="0"/>
        <w:rPr/>
      </w:pPr>
      <w:r w:rsidDel="00000000" w:rsidR="00000000" w:rsidRPr="00000000">
        <w:rPr>
          <w:b w:val="1"/>
          <w:rtl w:val="0"/>
        </w:rPr>
        <w:t xml:space="preserve">Phone:</w:t>
      </w:r>
      <w:r w:rsidDel="00000000" w:rsidR="00000000" w:rsidRPr="00000000">
        <w:rPr>
          <w:rtl w:val="0"/>
        </w:rPr>
        <w:t xml:space="preserve"> (843) 317-4021; Fax: (843) 317-4018 </w:t>
      </w:r>
    </w:p>
    <w:p w:rsidR="00000000" w:rsidDel="00000000" w:rsidP="00000000" w:rsidRDefault="00000000" w:rsidRPr="00000000" w14:paraId="0000003A">
      <w:pPr>
        <w:ind w:left="1440" w:firstLine="0"/>
        <w:rPr/>
      </w:pPr>
      <w:r w:rsidDel="00000000" w:rsidR="00000000" w:rsidRPr="00000000">
        <w:rPr>
          <w:b w:val="1"/>
          <w:rtl w:val="0"/>
        </w:rPr>
        <w:t xml:space="preserve">Outpost Offices:</w:t>
      </w:r>
      <w:r w:rsidDel="00000000" w:rsidR="00000000" w:rsidRPr="00000000">
        <w:rPr>
          <w:rtl w:val="0"/>
        </w:rPr>
        <w:t xml:space="preserve"> Aynor, Georgetown, Hartsville, Sumter </w:t>
      </w:r>
    </w:p>
    <w:p w:rsidR="00000000" w:rsidDel="00000000" w:rsidP="00000000" w:rsidRDefault="00000000" w:rsidRPr="00000000" w14:paraId="0000003B">
      <w:pPr>
        <w:ind w:left="1440" w:firstLine="0"/>
        <w:rPr/>
      </w:pPr>
      <w:r w:rsidDel="00000000" w:rsidR="00000000" w:rsidRPr="00000000">
        <w:rPr>
          <w:b w:val="1"/>
          <w:rtl w:val="0"/>
        </w:rPr>
        <w:t xml:space="preserve">Counties:</w:t>
      </w:r>
      <w:r w:rsidDel="00000000" w:rsidR="00000000" w:rsidRPr="00000000">
        <w:rPr>
          <w:rtl w:val="0"/>
        </w:rPr>
        <w:t xml:space="preserve"> Chesterfield, Clarendon, Darlington, Dillon, Florence, Georgetown, Horry, Kershaw, Lee, Marion, Marlboro, Sumter, Williamsburg</w:t>
      </w:r>
    </w:p>
    <w:p w:rsidR="00000000" w:rsidDel="00000000" w:rsidP="00000000" w:rsidRDefault="00000000" w:rsidRPr="00000000" w14:paraId="0000003C">
      <w:pPr>
        <w:ind w:left="1440" w:firstLine="0"/>
        <w:rPr/>
      </w:pPr>
      <w:r w:rsidDel="00000000" w:rsidR="00000000" w:rsidRPr="00000000">
        <w:rPr>
          <w:rtl w:val="0"/>
        </w:rPr>
      </w:r>
    </w:p>
    <w:p w:rsidR="00000000" w:rsidDel="00000000" w:rsidP="00000000" w:rsidRDefault="00000000" w:rsidRPr="00000000" w14:paraId="0000003D">
      <w:pPr>
        <w:ind w:left="1440" w:firstLine="0"/>
        <w:rPr>
          <w:b w:val="1"/>
        </w:rPr>
      </w:pPr>
      <w:r w:rsidDel="00000000" w:rsidR="00000000" w:rsidRPr="00000000">
        <w:rPr>
          <w:b w:val="1"/>
          <w:rtl w:val="0"/>
        </w:rPr>
        <w:t xml:space="preserve">Lowcountry:</w:t>
      </w:r>
    </w:p>
    <w:p w:rsidR="00000000" w:rsidDel="00000000" w:rsidP="00000000" w:rsidRDefault="00000000" w:rsidRPr="00000000" w14:paraId="0000003E">
      <w:pPr>
        <w:ind w:left="1440" w:firstLine="0"/>
        <w:rPr/>
      </w:pPr>
      <w:r w:rsidDel="00000000" w:rsidR="00000000" w:rsidRPr="00000000">
        <w:rPr>
          <w:rtl w:val="0"/>
        </w:rPr>
        <w:t xml:space="preserve">7410 Northside Drive, Suite 201 </w:t>
      </w:r>
    </w:p>
    <w:p w:rsidR="00000000" w:rsidDel="00000000" w:rsidP="00000000" w:rsidRDefault="00000000" w:rsidRPr="00000000" w14:paraId="0000003F">
      <w:pPr>
        <w:ind w:left="1440" w:firstLine="0"/>
        <w:rPr/>
      </w:pPr>
      <w:r w:rsidDel="00000000" w:rsidR="00000000" w:rsidRPr="00000000">
        <w:rPr>
          <w:rtl w:val="0"/>
        </w:rPr>
        <w:t xml:space="preserve">North Charleston, South Carolina 29420 </w:t>
      </w:r>
    </w:p>
    <w:p w:rsidR="00000000" w:rsidDel="00000000" w:rsidP="00000000" w:rsidRDefault="00000000" w:rsidRPr="00000000" w14:paraId="00000040">
      <w:pPr>
        <w:ind w:left="1440" w:firstLine="0"/>
        <w:rPr/>
      </w:pPr>
      <w:r w:rsidDel="00000000" w:rsidR="00000000" w:rsidRPr="00000000">
        <w:rPr>
          <w:b w:val="1"/>
          <w:rtl w:val="0"/>
        </w:rPr>
        <w:t xml:space="preserve">Phone:</w:t>
      </w:r>
      <w:r w:rsidDel="00000000" w:rsidR="00000000" w:rsidRPr="00000000">
        <w:rPr>
          <w:rtl w:val="0"/>
        </w:rPr>
        <w:t xml:space="preserve"> (843) 569-3079; Fax: (843) 569-2403 </w:t>
      </w:r>
    </w:p>
    <w:p w:rsidR="00000000" w:rsidDel="00000000" w:rsidP="00000000" w:rsidRDefault="00000000" w:rsidRPr="00000000" w14:paraId="00000041">
      <w:pPr>
        <w:ind w:left="1440" w:firstLine="0"/>
        <w:rPr/>
      </w:pPr>
      <w:r w:rsidDel="00000000" w:rsidR="00000000" w:rsidRPr="00000000">
        <w:rPr>
          <w:b w:val="1"/>
          <w:rtl w:val="0"/>
        </w:rPr>
        <w:t xml:space="preserve">Outpost Offices:</w:t>
      </w:r>
      <w:r w:rsidDel="00000000" w:rsidR="00000000" w:rsidRPr="00000000">
        <w:rPr>
          <w:rtl w:val="0"/>
        </w:rPr>
        <w:t xml:space="preserve"> Beaufort, Orangeburg, Walterboro </w:t>
      </w:r>
    </w:p>
    <w:p w:rsidR="00000000" w:rsidDel="00000000" w:rsidP="00000000" w:rsidRDefault="00000000" w:rsidRPr="00000000" w14:paraId="00000042">
      <w:pPr>
        <w:ind w:left="1440" w:firstLine="0"/>
        <w:rPr/>
      </w:pPr>
      <w:r w:rsidDel="00000000" w:rsidR="00000000" w:rsidRPr="00000000">
        <w:rPr>
          <w:b w:val="1"/>
          <w:rtl w:val="0"/>
        </w:rPr>
        <w:t xml:space="preserve">Counties:</w:t>
      </w:r>
      <w:r w:rsidDel="00000000" w:rsidR="00000000" w:rsidRPr="00000000">
        <w:rPr>
          <w:rtl w:val="0"/>
        </w:rPr>
        <w:t xml:space="preserve"> Allendale, Bamberg, Beaufort, Berkeley, Calhoun, Charleston, Colleton, Dorchester, Hampton, Jasper, Orangeburg</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ind w:left="1440" w:firstLine="0"/>
        <w:rPr>
          <w:b w:val="1"/>
        </w:rPr>
      </w:pPr>
      <w:r w:rsidDel="00000000" w:rsidR="00000000" w:rsidRPr="00000000">
        <w:rPr>
          <w:rtl w:val="0"/>
        </w:rPr>
      </w:r>
    </w:p>
    <w:p w:rsidR="00000000" w:rsidDel="00000000" w:rsidP="00000000" w:rsidRDefault="00000000" w:rsidRPr="00000000" w14:paraId="00000046">
      <w:pPr>
        <w:ind w:left="1440" w:firstLine="0"/>
        <w:rPr/>
      </w:pPr>
      <w:r w:rsidDel="00000000" w:rsidR="00000000" w:rsidRPr="00000000">
        <w:rPr>
          <w:b w:val="1"/>
          <w:rtl w:val="0"/>
        </w:rPr>
        <w:t xml:space="preserve">SC COC Wraparound Brochure Link</w:t>
      </w:r>
      <w:r w:rsidDel="00000000" w:rsidR="00000000" w:rsidRPr="00000000">
        <w:rPr>
          <w:rtl w:val="0"/>
        </w:rPr>
        <w:t xml:space="preserve">: </w:t>
      </w:r>
      <w:hyperlink r:id="rId6">
        <w:r w:rsidDel="00000000" w:rsidR="00000000" w:rsidRPr="00000000">
          <w:rPr>
            <w:color w:val="1155cc"/>
            <w:u w:val="single"/>
            <w:rtl w:val="0"/>
          </w:rPr>
          <w:t xml:space="preserve">https://coc.sc.gov/documents/wraparound_brochure_rev06-15.pdf</w:t>
        </w:r>
      </w:hyperlink>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r>
    </w:p>
    <w:p w:rsidR="00000000" w:rsidDel="00000000" w:rsidP="00000000" w:rsidRDefault="00000000" w:rsidRPr="00000000" w14:paraId="00000048">
      <w:pPr>
        <w:ind w:left="1440" w:firstLine="0"/>
        <w:rPr/>
      </w:pPr>
      <w:r w:rsidDel="00000000" w:rsidR="00000000" w:rsidRPr="00000000">
        <w:rPr>
          <w:b w:val="1"/>
          <w:rtl w:val="0"/>
        </w:rPr>
        <w:t xml:space="preserve">SC COC Website Link:</w:t>
      </w:r>
      <w:r w:rsidDel="00000000" w:rsidR="00000000" w:rsidRPr="00000000">
        <w:rPr>
          <w:rtl w:val="0"/>
        </w:rPr>
        <w:t xml:space="preserve"> </w:t>
      </w:r>
      <w:hyperlink r:id="rId7">
        <w:r w:rsidDel="00000000" w:rsidR="00000000" w:rsidRPr="00000000">
          <w:rPr>
            <w:color w:val="1155cc"/>
            <w:u w:val="single"/>
            <w:rtl w:val="0"/>
          </w:rPr>
          <w:t xml:space="preserve">https://coc.sc.gov/about.html</w:t>
        </w:r>
      </w:hyperlink>
      <w:r w:rsidDel="00000000" w:rsidR="00000000" w:rsidRPr="00000000">
        <w:rPr>
          <w:rtl w:val="0"/>
        </w:rPr>
        <w:t xml:space="preserve"> </w:t>
      </w:r>
    </w:p>
    <w:p w:rsidR="00000000" w:rsidDel="00000000" w:rsidP="00000000" w:rsidRDefault="00000000" w:rsidRPr="00000000" w14:paraId="00000049">
      <w:pPr>
        <w:ind w:left="1440" w:firstLine="0"/>
        <w:rPr/>
      </w:pPr>
      <w:r w:rsidDel="00000000" w:rsidR="00000000" w:rsidRPr="00000000">
        <w:rPr>
          <w:rtl w:val="0"/>
        </w:rPr>
      </w:r>
    </w:p>
    <w:p w:rsidR="00000000" w:rsidDel="00000000" w:rsidP="00000000" w:rsidRDefault="00000000" w:rsidRPr="00000000" w14:paraId="0000004A">
      <w:pPr>
        <w:ind w:left="1440" w:firstLine="0"/>
        <w:rPr/>
      </w:pPr>
      <w:r w:rsidDel="00000000" w:rsidR="00000000" w:rsidRPr="00000000">
        <w:rPr>
          <w:b w:val="1"/>
          <w:rtl w:val="0"/>
        </w:rPr>
        <w:t xml:space="preserve">SC COC Application Link:</w:t>
      </w:r>
      <w:r w:rsidDel="00000000" w:rsidR="00000000" w:rsidRPr="00000000">
        <w:rPr>
          <w:rtl w:val="0"/>
        </w:rPr>
        <w:t xml:space="preserve"> </w:t>
      </w:r>
      <w:hyperlink r:id="rId8">
        <w:r w:rsidDel="00000000" w:rsidR="00000000" w:rsidRPr="00000000">
          <w:rPr>
            <w:color w:val="1155cc"/>
            <w:u w:val="single"/>
            <w:rtl w:val="0"/>
          </w:rPr>
          <w:t xml:space="preserve">https://coc.sc.gov/documents/application%2005-12-2021.pdf</w:t>
        </w:r>
      </w:hyperlink>
      <w:r w:rsidDel="00000000" w:rsidR="00000000" w:rsidRPr="00000000">
        <w:rPr>
          <w:rtl w:val="0"/>
        </w:rPr>
      </w:r>
    </w:p>
    <w:p w:rsidR="00000000" w:rsidDel="00000000" w:rsidP="00000000" w:rsidRDefault="00000000" w:rsidRPr="00000000" w14:paraId="0000004B">
      <w:pPr>
        <w:ind w:left="1440" w:firstLine="0"/>
        <w:rPr/>
      </w:pPr>
      <w:r w:rsidDel="00000000" w:rsidR="00000000" w:rsidRPr="00000000">
        <w:rPr>
          <w:rtl w:val="0"/>
        </w:rPr>
      </w:r>
    </w:p>
    <w:p w:rsidR="00000000" w:rsidDel="00000000" w:rsidP="00000000" w:rsidRDefault="00000000" w:rsidRPr="00000000" w14:paraId="0000004C">
      <w:pPr>
        <w:ind w:left="1440" w:firstLine="0"/>
        <w:rPr/>
      </w:pP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1440" w:firstLine="0"/>
        <w:rPr/>
      </w:pPr>
      <w:r w:rsidDel="00000000" w:rsidR="00000000" w:rsidRPr="00000000">
        <w:rPr>
          <w:rtl w:val="0"/>
        </w:rPr>
      </w:r>
    </w:p>
    <w:p w:rsidR="00000000" w:rsidDel="00000000" w:rsidP="00000000" w:rsidRDefault="00000000" w:rsidRPr="00000000" w14:paraId="0000004F">
      <w:pPr>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050">
      <w:pPr>
        <w:ind w:left="1440" w:firstLine="0"/>
        <w:rPr/>
      </w:pPr>
      <w:r w:rsidDel="00000000" w:rsidR="00000000" w:rsidRPr="00000000">
        <w:rPr>
          <w:rtl w:val="0"/>
        </w:rPr>
      </w:r>
    </w:p>
    <w:p w:rsidR="00000000" w:rsidDel="00000000" w:rsidP="00000000" w:rsidRDefault="00000000" w:rsidRPr="00000000" w14:paraId="00000051">
      <w:pPr>
        <w:jc w:val="center"/>
        <w:rPr>
          <w:b w:val="1"/>
        </w:rPr>
      </w:pPr>
      <w:r w:rsidDel="00000000" w:rsidR="00000000" w:rsidRPr="00000000">
        <w:rPr>
          <w:b w:val="1"/>
          <w:rtl w:val="0"/>
        </w:rPr>
        <w:t xml:space="preserve">References </w:t>
      </w:r>
    </w:p>
    <w:p w:rsidR="00000000" w:rsidDel="00000000" w:rsidP="00000000" w:rsidRDefault="00000000" w:rsidRPr="00000000" w14:paraId="00000052">
      <w:pPr>
        <w:spacing w:after="240" w:before="240" w:lineRule="auto"/>
        <w:ind w:left="720"/>
        <w:rPr/>
      </w:pPr>
      <w:r w:rsidDel="00000000" w:rsidR="00000000" w:rsidRPr="00000000">
        <w:rPr>
          <w:i w:val="1"/>
          <w:rtl w:val="0"/>
        </w:rPr>
        <w:t xml:space="preserve">Wraparound services</w:t>
      </w:r>
      <w:r w:rsidDel="00000000" w:rsidR="00000000" w:rsidRPr="00000000">
        <w:rPr>
          <w:rtl w:val="0"/>
        </w:rPr>
        <w:t xml:space="preserve">. SCYAP. (2021, August 10). Retrieved November 27, 2022, from </w:t>
      </w:r>
      <w:hyperlink r:id="rId9">
        <w:r w:rsidDel="00000000" w:rsidR="00000000" w:rsidRPr="00000000">
          <w:rPr>
            <w:color w:val="1155cc"/>
            <w:u w:val="single"/>
            <w:rtl w:val="0"/>
          </w:rPr>
          <w:t xml:space="preserve">https://scyap.com/wraparound-services/</w:t>
        </w:r>
      </w:hyperlink>
      <w:r w:rsidDel="00000000" w:rsidR="00000000" w:rsidRPr="00000000">
        <w:rPr>
          <w:rtl w:val="0"/>
        </w:rPr>
        <w:t xml:space="preserve">  </w:t>
      </w:r>
    </w:p>
    <w:p w:rsidR="00000000" w:rsidDel="00000000" w:rsidP="00000000" w:rsidRDefault="00000000" w:rsidRPr="00000000" w14:paraId="00000053">
      <w:pPr>
        <w:spacing w:after="240" w:before="240" w:lineRule="auto"/>
        <w:ind w:left="720"/>
        <w:rPr>
          <w:b w:val="1"/>
        </w:rPr>
      </w:pPr>
      <w:r w:rsidDel="00000000" w:rsidR="00000000" w:rsidRPr="00000000">
        <w:rPr>
          <w:rtl w:val="0"/>
        </w:rPr>
        <w:t xml:space="preserve">S.C. continuum of care. (n.d.). Retrieved November 27, 2022, from </w:t>
      </w:r>
      <w:hyperlink r:id="rId10">
        <w:r w:rsidDel="00000000" w:rsidR="00000000" w:rsidRPr="00000000">
          <w:rPr>
            <w:color w:val="1155cc"/>
            <w:u w:val="single"/>
            <w:rtl w:val="0"/>
          </w:rPr>
          <w:t xml:space="preserve">https://coc.sc.gov/about.html</w:t>
        </w:r>
      </w:hyperlink>
      <w:r w:rsidDel="00000000" w:rsidR="00000000" w:rsidRPr="00000000">
        <w:rPr>
          <w:rtl w:val="0"/>
        </w:rPr>
        <w:t xml:space="preserve">   </w:t>
      </w: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sz w:val="18"/>
        <w:szCs w:val="18"/>
      </w:rPr>
    </w:pPr>
    <w:r w:rsidDel="00000000" w:rsidR="00000000" w:rsidRPr="00000000">
      <w:rPr>
        <w:sz w:val="18"/>
        <w:szCs w:val="18"/>
        <w:rtl w:val="0"/>
      </w:rPr>
      <w:t xml:space="preserve">1817 Boundary Street</w:t>
    </w:r>
  </w:p>
  <w:p w:rsidR="00000000" w:rsidDel="00000000" w:rsidP="00000000" w:rsidRDefault="00000000" w:rsidRPr="00000000" w14:paraId="00000056">
    <w:pPr>
      <w:jc w:val="center"/>
      <w:rPr>
        <w:sz w:val="18"/>
        <w:szCs w:val="18"/>
      </w:rPr>
    </w:pPr>
    <w:r w:rsidDel="00000000" w:rsidR="00000000" w:rsidRPr="00000000">
      <w:rPr>
        <w:sz w:val="18"/>
        <w:szCs w:val="18"/>
        <w:rtl w:val="0"/>
      </w:rPr>
      <w:t xml:space="preserve">Beaufort, SC 29902</w:t>
    </w:r>
  </w:p>
  <w:p w:rsidR="00000000" w:rsidDel="00000000" w:rsidP="00000000" w:rsidRDefault="00000000" w:rsidRPr="00000000" w14:paraId="00000057">
    <w:pPr>
      <w:jc w:val="center"/>
      <w:rPr>
        <w:sz w:val="18"/>
        <w:szCs w:val="18"/>
      </w:rPr>
    </w:pPr>
    <w:r w:rsidDel="00000000" w:rsidR="00000000" w:rsidRPr="00000000">
      <w:rPr>
        <w:sz w:val="18"/>
        <w:szCs w:val="18"/>
        <w:highlight w:val="white"/>
        <w:rtl w:val="0"/>
      </w:rPr>
      <w:t xml:space="preserve">814-273-9366</w:t>
    </w:r>
    <w:r w:rsidDel="00000000" w:rsidR="00000000" w:rsidRPr="00000000">
      <w:rPr>
        <w:rtl w:val="0"/>
      </w:rPr>
    </w:r>
  </w:p>
  <w:p w:rsidR="00000000" w:rsidDel="00000000" w:rsidP="00000000" w:rsidRDefault="00000000" w:rsidRPr="00000000" w14:paraId="00000058">
    <w:pPr>
      <w:jc w:val="center"/>
      <w:rPr/>
    </w:pPr>
    <w:r w:rsidDel="00000000" w:rsidR="00000000" w:rsidRPr="00000000">
      <w:rPr>
        <w:sz w:val="18"/>
        <w:szCs w:val="18"/>
        <w:rtl w:val="0"/>
      </w:rPr>
      <w:t xml:space="preserve">Dr.Penny@artplayandorr.com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pPr>
    <w:r w:rsidDel="00000000" w:rsidR="00000000" w:rsidRPr="00000000">
      <w:rPr/>
      <w:drawing>
        <wp:inline distB="114300" distT="114300" distL="114300" distR="114300">
          <wp:extent cx="1661793" cy="8334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1793"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coc.sc.gov/about.html" TargetMode="External"/><Relationship Id="rId12" Type="http://schemas.openxmlformats.org/officeDocument/2006/relationships/footer" Target="footer1.xml"/><Relationship Id="rId9" Type="http://schemas.openxmlformats.org/officeDocument/2006/relationships/hyperlink" Target="https://scyap.com/wraparound-services/" TargetMode="External"/><Relationship Id="rId5" Type="http://schemas.openxmlformats.org/officeDocument/2006/relationships/styles" Target="styles.xml"/><Relationship Id="rId6" Type="http://schemas.openxmlformats.org/officeDocument/2006/relationships/hyperlink" Target="https://coc.sc.gov/documents/wraparound_brochure_rev06-15.pdf" TargetMode="External"/><Relationship Id="rId7" Type="http://schemas.openxmlformats.org/officeDocument/2006/relationships/hyperlink" Target="https://coc.sc.gov/about.html" TargetMode="External"/><Relationship Id="rId8" Type="http://schemas.openxmlformats.org/officeDocument/2006/relationships/hyperlink" Target="https://coc.sc.gov/documents/application%2005-12-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